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E752B" w14:textId="3B147342" w:rsidR="00D94892" w:rsidRDefault="00D94892" w:rsidP="00FD1238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1F1E"/>
          <w:sz w:val="20"/>
          <w:szCs w:val="20"/>
          <w:u w:val="single"/>
          <w:lang w:eastAsia="nl-NL"/>
        </w:rPr>
      </w:pPr>
      <w:bookmarkStart w:id="0" w:name="_GoBack"/>
      <w:bookmarkEnd w:id="0"/>
      <w:r>
        <w:rPr>
          <w:rFonts w:ascii="Verdana" w:eastAsia="Times New Roman" w:hAnsi="Verdana" w:cs="Arial"/>
          <w:b/>
          <w:bCs/>
          <w:color w:val="201F1E"/>
          <w:sz w:val="20"/>
          <w:szCs w:val="20"/>
          <w:u w:val="single"/>
          <w:lang w:eastAsia="nl-NL"/>
        </w:rPr>
        <w:t>UITWERKING WET DIFFERENTIATIE OVERDRACHTSBELASTING</w:t>
      </w:r>
    </w:p>
    <w:p w14:paraId="356F4C3B" w14:textId="7D46D529" w:rsidR="00D94892" w:rsidRDefault="00D94892" w:rsidP="00FD1238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1F1E"/>
          <w:sz w:val="20"/>
          <w:szCs w:val="20"/>
          <w:u w:val="single"/>
          <w:lang w:eastAsia="nl-NL"/>
        </w:rPr>
      </w:pPr>
      <w:r>
        <w:rPr>
          <w:rFonts w:ascii="Verdana" w:eastAsia="Times New Roman" w:hAnsi="Verdana" w:cs="Arial"/>
          <w:b/>
          <w:bCs/>
          <w:color w:val="201F1E"/>
          <w:sz w:val="20"/>
          <w:szCs w:val="20"/>
          <w:u w:val="single"/>
          <w:lang w:eastAsia="nl-NL"/>
        </w:rPr>
        <w:t>TE</w:t>
      </w:r>
      <w:r w:rsidR="00625CE1">
        <w:rPr>
          <w:rFonts w:ascii="Verdana" w:eastAsia="Times New Roman" w:hAnsi="Verdana" w:cs="Arial"/>
          <w:b/>
          <w:bCs/>
          <w:color w:val="201F1E"/>
          <w:sz w:val="20"/>
          <w:szCs w:val="20"/>
          <w:u w:val="single"/>
          <w:lang w:eastAsia="nl-NL"/>
        </w:rPr>
        <w:t>N BEHOEVE VAN</w:t>
      </w:r>
      <w:r>
        <w:rPr>
          <w:rFonts w:ascii="Verdana" w:eastAsia="Times New Roman" w:hAnsi="Verdana" w:cs="Arial"/>
          <w:b/>
          <w:bCs/>
          <w:color w:val="201F1E"/>
          <w:sz w:val="20"/>
          <w:szCs w:val="20"/>
          <w:u w:val="single"/>
          <w:lang w:eastAsia="nl-NL"/>
        </w:rPr>
        <w:t xml:space="preserve"> DE MODELAKTEN </w:t>
      </w:r>
    </w:p>
    <w:p w14:paraId="394F2E10" w14:textId="04D4355A" w:rsidR="00D94892" w:rsidRPr="00D94892" w:rsidRDefault="00D94892" w:rsidP="00FD12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01F1E"/>
          <w:sz w:val="20"/>
          <w:szCs w:val="20"/>
          <w:lang w:eastAsia="nl-NL"/>
        </w:rPr>
      </w:pPr>
      <w:r w:rsidRPr="00D94892">
        <w:rPr>
          <w:rFonts w:ascii="Verdana" w:eastAsia="Times New Roman" w:hAnsi="Verdana" w:cs="Arial"/>
          <w:color w:val="201F1E"/>
          <w:sz w:val="20"/>
          <w:szCs w:val="20"/>
          <w:lang w:eastAsia="nl-NL"/>
        </w:rPr>
        <w:t>(in overleg met de Belastingdienst tot stand gekomen)</w:t>
      </w:r>
    </w:p>
    <w:p w14:paraId="7C811653" w14:textId="5C0F6076" w:rsidR="00D94892" w:rsidRDefault="00D94892" w:rsidP="00FD1238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1F1E"/>
          <w:sz w:val="20"/>
          <w:szCs w:val="20"/>
          <w:u w:val="single"/>
          <w:lang w:eastAsia="nl-NL"/>
        </w:rPr>
      </w:pPr>
    </w:p>
    <w:p w14:paraId="6A796850" w14:textId="77777777" w:rsidR="00D94892" w:rsidRDefault="00D94892" w:rsidP="00FD1238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1F1E"/>
          <w:sz w:val="20"/>
          <w:szCs w:val="20"/>
          <w:u w:val="single"/>
          <w:lang w:eastAsia="nl-NL"/>
        </w:rPr>
      </w:pPr>
    </w:p>
    <w:p w14:paraId="3C9ED9AB" w14:textId="571D8CC7" w:rsidR="00FD1238" w:rsidRDefault="00FD1238" w:rsidP="00FD1238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1F1E"/>
          <w:sz w:val="20"/>
          <w:szCs w:val="20"/>
          <w:u w:val="single"/>
          <w:lang w:eastAsia="nl-NL"/>
        </w:rPr>
      </w:pPr>
      <w:r w:rsidRPr="00FD1238">
        <w:rPr>
          <w:rFonts w:ascii="Verdana" w:eastAsia="Times New Roman" w:hAnsi="Verdana" w:cs="Arial"/>
          <w:b/>
          <w:bCs/>
          <w:color w:val="201F1E"/>
          <w:sz w:val="20"/>
          <w:szCs w:val="20"/>
          <w:u w:val="single"/>
          <w:lang w:eastAsia="nl-NL"/>
        </w:rPr>
        <w:t>Indicatie</w:t>
      </w:r>
      <w:r w:rsidR="000937AE">
        <w:rPr>
          <w:rFonts w:ascii="Verdana" w:eastAsia="Times New Roman" w:hAnsi="Verdana" w:cs="Arial"/>
          <w:b/>
          <w:bCs/>
          <w:color w:val="201F1E"/>
          <w:sz w:val="20"/>
          <w:szCs w:val="20"/>
          <w:u w:val="single"/>
          <w:lang w:eastAsia="nl-NL"/>
        </w:rPr>
        <w:t xml:space="preserve"> </w:t>
      </w:r>
      <w:r w:rsidRPr="00FD1238">
        <w:rPr>
          <w:rFonts w:ascii="Verdana" w:eastAsia="Times New Roman" w:hAnsi="Verdana" w:cs="Arial"/>
          <w:b/>
          <w:bCs/>
          <w:color w:val="201F1E"/>
          <w:sz w:val="20"/>
          <w:szCs w:val="20"/>
          <w:u w:val="single"/>
          <w:lang w:eastAsia="nl-NL"/>
        </w:rPr>
        <w:t>Startersvrijstelling:</w:t>
      </w:r>
    </w:p>
    <w:p w14:paraId="5F1EBEE7" w14:textId="77777777" w:rsidR="00FD1238" w:rsidRPr="00FD1238" w:rsidRDefault="00FD1238" w:rsidP="00FD1238">
      <w:pP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201F1E"/>
          <w:sz w:val="23"/>
          <w:szCs w:val="23"/>
          <w:u w:val="single"/>
          <w:lang w:eastAsia="nl-NL"/>
        </w:rPr>
      </w:pPr>
    </w:p>
    <w:p w14:paraId="779AAA6A" w14:textId="398E9CA1" w:rsidR="00FD1238" w:rsidRDefault="00FD1238" w:rsidP="00FD1238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1F1E"/>
          <w:sz w:val="20"/>
          <w:szCs w:val="20"/>
          <w:lang w:eastAsia="nl-NL"/>
        </w:rPr>
      </w:pPr>
      <w:r w:rsidRPr="00FD1238">
        <w:rPr>
          <w:rFonts w:ascii="Verdana" w:eastAsia="Times New Roman" w:hAnsi="Verdana" w:cs="Arial"/>
          <w:b/>
          <w:bCs/>
          <w:color w:val="201F1E"/>
          <w:sz w:val="20"/>
          <w:szCs w:val="20"/>
          <w:lang w:eastAsia="nl-NL"/>
        </w:rPr>
        <w:t>verplicht in de akte:</w:t>
      </w:r>
    </w:p>
    <w:p w14:paraId="2F1B97DE" w14:textId="77777777" w:rsidR="00FD1238" w:rsidRPr="00FD1238" w:rsidRDefault="00FD1238" w:rsidP="00FD1238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1F1E"/>
          <w:sz w:val="20"/>
          <w:szCs w:val="20"/>
          <w:lang w:eastAsia="nl-NL"/>
        </w:rPr>
      </w:pPr>
    </w:p>
    <w:p w14:paraId="34EDDA37" w14:textId="23D9403B" w:rsidR="00FD1238" w:rsidRPr="00FD1238" w:rsidRDefault="00FD1238" w:rsidP="00FD12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01F1E"/>
          <w:sz w:val="20"/>
          <w:szCs w:val="20"/>
          <w:lang w:eastAsia="nl-NL"/>
        </w:rPr>
      </w:pPr>
      <w:r w:rsidRPr="00FD1238">
        <w:rPr>
          <w:rFonts w:ascii="Verdana" w:eastAsia="Times New Roman" w:hAnsi="Verdana" w:cs="Arial"/>
          <w:color w:val="201F1E"/>
          <w:sz w:val="20"/>
          <w:szCs w:val="20"/>
          <w:lang w:eastAsia="nl-NL"/>
        </w:rPr>
        <w:t xml:space="preserve">vermelding van het wetsartikel: </w:t>
      </w:r>
    </w:p>
    <w:p w14:paraId="6081DF83" w14:textId="77777777" w:rsidR="00FD1238" w:rsidRPr="00FD1238" w:rsidRDefault="00FD1238" w:rsidP="00FD12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01F1E"/>
          <w:sz w:val="20"/>
          <w:szCs w:val="20"/>
          <w:lang w:eastAsia="nl-NL"/>
        </w:rPr>
      </w:pPr>
    </w:p>
    <w:p w14:paraId="35114F43" w14:textId="38A48506" w:rsidR="00FD1238" w:rsidRDefault="00FD1238" w:rsidP="00FD12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01F1E"/>
          <w:sz w:val="20"/>
          <w:szCs w:val="20"/>
          <w:lang w:eastAsia="nl-NL"/>
        </w:rPr>
      </w:pPr>
      <w:r w:rsidRPr="00FD1238">
        <w:rPr>
          <w:rFonts w:ascii="Verdana" w:eastAsia="Times New Roman" w:hAnsi="Verdana" w:cs="Arial"/>
          <w:color w:val="201F1E"/>
          <w:sz w:val="20"/>
          <w:szCs w:val="20"/>
          <w:lang w:eastAsia="nl-NL"/>
        </w:rPr>
        <w:t xml:space="preserve">artikel 15, eerste lid, onderdeel p, van de Wet </w:t>
      </w:r>
      <w:r w:rsidR="003D2598">
        <w:rPr>
          <w:rFonts w:ascii="Verdana" w:eastAsia="Times New Roman" w:hAnsi="Verdana" w:cs="Arial"/>
          <w:color w:val="201F1E"/>
          <w:sz w:val="20"/>
          <w:szCs w:val="20"/>
          <w:lang w:eastAsia="nl-NL"/>
        </w:rPr>
        <w:t xml:space="preserve">op </w:t>
      </w:r>
      <w:r w:rsidRPr="00FD1238">
        <w:rPr>
          <w:rFonts w:ascii="Verdana" w:eastAsia="Times New Roman" w:hAnsi="Verdana" w:cs="Arial"/>
          <w:color w:val="201F1E"/>
          <w:sz w:val="20"/>
          <w:szCs w:val="20"/>
          <w:lang w:eastAsia="nl-NL"/>
        </w:rPr>
        <w:t>belastingen van rechtsverkeer (met diverse schrijfwijzen)</w:t>
      </w:r>
    </w:p>
    <w:p w14:paraId="476C813F" w14:textId="28A71751" w:rsidR="008C2769" w:rsidRDefault="008C2769" w:rsidP="00FD12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01F1E"/>
          <w:sz w:val="20"/>
          <w:szCs w:val="20"/>
          <w:lang w:eastAsia="nl-NL"/>
        </w:rPr>
      </w:pPr>
    </w:p>
    <w:p w14:paraId="154DC5AB" w14:textId="1511A4C4" w:rsidR="00FD1238" w:rsidRPr="00FD1238" w:rsidRDefault="008C2769" w:rsidP="00FD1238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1F1E"/>
          <w:sz w:val="20"/>
          <w:szCs w:val="20"/>
          <w:lang w:eastAsia="nl-NL"/>
        </w:rPr>
      </w:pPr>
      <w:r>
        <w:rPr>
          <w:rFonts w:ascii="Verdana" w:eastAsia="Times New Roman" w:hAnsi="Verdana" w:cs="Arial"/>
          <w:b/>
          <w:bCs/>
          <w:color w:val="201F1E"/>
          <w:sz w:val="20"/>
          <w:szCs w:val="20"/>
          <w:lang w:eastAsia="nl-NL"/>
        </w:rPr>
        <w:t xml:space="preserve">aanvullend </w:t>
      </w:r>
      <w:r w:rsidR="00FD1238" w:rsidRPr="00FD1238">
        <w:rPr>
          <w:rFonts w:ascii="Verdana" w:eastAsia="Times New Roman" w:hAnsi="Verdana" w:cs="Arial"/>
          <w:b/>
          <w:bCs/>
          <w:color w:val="201F1E"/>
          <w:sz w:val="20"/>
          <w:szCs w:val="20"/>
          <w:lang w:eastAsia="nl-NL"/>
        </w:rPr>
        <w:t>gewenst in de akte:</w:t>
      </w:r>
    </w:p>
    <w:p w14:paraId="4AF3517E" w14:textId="77777777" w:rsidR="00FD1238" w:rsidRPr="00FD1238" w:rsidRDefault="00FD1238" w:rsidP="00FD1238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1F1E"/>
          <w:sz w:val="20"/>
          <w:szCs w:val="20"/>
          <w:lang w:eastAsia="nl-NL"/>
        </w:rPr>
      </w:pPr>
    </w:p>
    <w:p w14:paraId="741A8485" w14:textId="18315A96" w:rsidR="00FD1238" w:rsidRPr="00FD1238" w:rsidRDefault="00FD1238" w:rsidP="00FD1238">
      <w:pPr>
        <w:pStyle w:val="Lijstalinea"/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Segoe UI"/>
          <w:color w:val="201F1E"/>
          <w:sz w:val="23"/>
          <w:szCs w:val="23"/>
          <w:lang w:eastAsia="nl-NL"/>
        </w:rPr>
      </w:pPr>
      <w:r w:rsidRPr="00FD1238">
        <w:rPr>
          <w:rFonts w:ascii="Verdana" w:eastAsia="Times New Roman" w:hAnsi="Verdana" w:cs="Arial"/>
          <w:color w:val="201F1E"/>
          <w:sz w:val="20"/>
          <w:szCs w:val="20"/>
          <w:lang w:eastAsia="nl-NL"/>
        </w:rPr>
        <w:t>de tekst: "startersvrijstelling" OF "startervrijstelling"</w:t>
      </w:r>
    </w:p>
    <w:p w14:paraId="386CF65F" w14:textId="628F5F8D" w:rsidR="00FD1238" w:rsidRPr="00FD1238" w:rsidRDefault="008C2769" w:rsidP="008C2769">
      <w:pPr>
        <w:shd w:val="clear" w:color="auto" w:fill="FFFFFF"/>
        <w:spacing w:after="0" w:line="240" w:lineRule="auto"/>
        <w:rPr>
          <w:rFonts w:ascii="Verdana" w:eastAsia="Times New Roman" w:hAnsi="Verdana" w:cs="Segoe UI"/>
          <w:color w:val="201F1E"/>
          <w:sz w:val="20"/>
          <w:szCs w:val="20"/>
          <w:lang w:eastAsia="nl-NL"/>
        </w:rPr>
      </w:pPr>
      <w:r>
        <w:rPr>
          <w:rFonts w:ascii="Verdana" w:eastAsia="Times New Roman" w:hAnsi="Verdana" w:cs="Segoe UI"/>
          <w:color w:val="201F1E"/>
          <w:sz w:val="20"/>
          <w:szCs w:val="20"/>
          <w:lang w:eastAsia="nl-NL"/>
        </w:rPr>
        <w:t>EN/</w:t>
      </w:r>
      <w:r w:rsidR="00FD1238" w:rsidRPr="00FD1238">
        <w:rPr>
          <w:rFonts w:ascii="Verdana" w:eastAsia="Times New Roman" w:hAnsi="Verdana" w:cs="Segoe UI"/>
          <w:color w:val="201F1E"/>
          <w:sz w:val="20"/>
          <w:szCs w:val="20"/>
          <w:lang w:eastAsia="nl-NL"/>
        </w:rPr>
        <w:t>OF</w:t>
      </w:r>
    </w:p>
    <w:p w14:paraId="385AD196" w14:textId="7705965C" w:rsidR="00FD1238" w:rsidRPr="008C2769" w:rsidRDefault="00FD1238" w:rsidP="00FD1238">
      <w:pPr>
        <w:pStyle w:val="Lijstalinea"/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Segoe UI"/>
          <w:color w:val="201F1E"/>
          <w:sz w:val="23"/>
          <w:szCs w:val="23"/>
          <w:lang w:eastAsia="nl-NL"/>
        </w:rPr>
      </w:pPr>
      <w:r w:rsidRPr="00FD1238">
        <w:rPr>
          <w:rFonts w:ascii="Verdana" w:eastAsia="Times New Roman" w:hAnsi="Verdana" w:cs="Arial"/>
          <w:color w:val="201F1E"/>
          <w:sz w:val="20"/>
          <w:szCs w:val="20"/>
          <w:lang w:eastAsia="nl-NL"/>
        </w:rPr>
        <w:t>de tekst: "startersverklaring"</w:t>
      </w:r>
    </w:p>
    <w:p w14:paraId="2C664F1E" w14:textId="353BF9A1" w:rsidR="008C2769" w:rsidRDefault="008C2769" w:rsidP="008C2769">
      <w:pPr>
        <w:shd w:val="clear" w:color="auto" w:fill="FFFFFF"/>
        <w:spacing w:after="0" w:line="240" w:lineRule="auto"/>
        <w:rPr>
          <w:rFonts w:ascii="Verdana" w:eastAsia="Times New Roman" w:hAnsi="Verdana" w:cs="Segoe UI"/>
          <w:color w:val="201F1E"/>
          <w:sz w:val="23"/>
          <w:szCs w:val="23"/>
          <w:lang w:eastAsia="nl-NL"/>
        </w:rPr>
      </w:pPr>
    </w:p>
    <w:p w14:paraId="4B841740" w14:textId="41796274" w:rsidR="008C2769" w:rsidRPr="008C2769" w:rsidRDefault="008C2769" w:rsidP="008C276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01F1E"/>
          <w:sz w:val="20"/>
          <w:szCs w:val="20"/>
          <w:u w:val="single"/>
          <w:lang w:eastAsia="nl-NL"/>
        </w:rPr>
      </w:pPr>
      <w:r w:rsidRPr="008C2769">
        <w:rPr>
          <w:rFonts w:ascii="Verdana" w:eastAsia="Times New Roman" w:hAnsi="Verdana" w:cs="Arial"/>
          <w:color w:val="201F1E"/>
          <w:sz w:val="20"/>
          <w:szCs w:val="20"/>
          <w:u w:val="single"/>
          <w:lang w:eastAsia="nl-NL"/>
        </w:rPr>
        <w:t>voorbeeldteksten:</w:t>
      </w:r>
    </w:p>
    <w:p w14:paraId="257CDA8D" w14:textId="77777777" w:rsidR="008C2769" w:rsidRDefault="008C2769" w:rsidP="008C276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01F1E"/>
          <w:sz w:val="20"/>
          <w:szCs w:val="20"/>
          <w:lang w:eastAsia="nl-NL"/>
        </w:rPr>
      </w:pPr>
    </w:p>
    <w:p w14:paraId="41D92711" w14:textId="77777777" w:rsidR="008C2769" w:rsidRDefault="008C2769" w:rsidP="008C2769">
      <w:pPr>
        <w:shd w:val="clear" w:color="auto" w:fill="FFFFFF"/>
        <w:spacing w:after="0" w:line="240" w:lineRule="auto"/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</w:pPr>
      <w:bookmarkStart w:id="1" w:name="_Hlk57356854"/>
      <w:r w:rsidRPr="008C2769"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  <w:t>(…) doet een beroep op de vrijstelling van artikel 15 lid 1 sub p van de Wet op belastingen van rechtsverkeer</w:t>
      </w:r>
      <w:r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  <w:t>.</w:t>
      </w:r>
    </w:p>
    <w:bookmarkEnd w:id="1"/>
    <w:p w14:paraId="42BC9AD5" w14:textId="77777777" w:rsidR="008C2769" w:rsidRDefault="008C2769" w:rsidP="008C2769">
      <w:pPr>
        <w:shd w:val="clear" w:color="auto" w:fill="FFFFFF"/>
        <w:spacing w:after="0" w:line="240" w:lineRule="auto"/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</w:pPr>
    </w:p>
    <w:p w14:paraId="588CA72F" w14:textId="77777777" w:rsidR="008C2769" w:rsidRPr="008C2769" w:rsidRDefault="008C2769" w:rsidP="008C276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01F1E"/>
          <w:sz w:val="20"/>
          <w:szCs w:val="20"/>
          <w:lang w:eastAsia="nl-NL"/>
        </w:rPr>
      </w:pPr>
      <w:r w:rsidRPr="008C2769">
        <w:rPr>
          <w:rFonts w:ascii="Verdana" w:eastAsia="Times New Roman" w:hAnsi="Verdana" w:cs="Arial"/>
          <w:color w:val="201F1E"/>
          <w:sz w:val="20"/>
          <w:szCs w:val="20"/>
          <w:lang w:eastAsia="nl-NL"/>
        </w:rPr>
        <w:t>OF</w:t>
      </w:r>
    </w:p>
    <w:p w14:paraId="26F68CB1" w14:textId="77777777" w:rsidR="008C2769" w:rsidRDefault="008C2769" w:rsidP="008C2769">
      <w:pPr>
        <w:shd w:val="clear" w:color="auto" w:fill="FFFFFF"/>
        <w:spacing w:after="0" w:line="240" w:lineRule="auto"/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</w:pPr>
    </w:p>
    <w:p w14:paraId="5B803B3D" w14:textId="1675DA8C" w:rsidR="008C2769" w:rsidRDefault="008C2769" w:rsidP="008C2769">
      <w:pPr>
        <w:shd w:val="clear" w:color="auto" w:fill="FFFFFF"/>
        <w:spacing w:after="0" w:line="240" w:lineRule="auto"/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</w:pPr>
      <w:r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  <w:t>(…)</w:t>
      </w:r>
      <w:r w:rsidRPr="008C2769"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  <w:t xml:space="preserve"> doet een beroep op de vrijstelling van artikel 15 lid 1 sub </w:t>
      </w:r>
      <w:r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  <w:t>p</w:t>
      </w:r>
      <w:r w:rsidRPr="008C2769"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  <w:t xml:space="preserve"> van de Wet op belastingen van rechtsverkeer</w:t>
      </w:r>
      <w:r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  <w:t>. De startersverklaring wordt aan deze akte gehecht.</w:t>
      </w:r>
    </w:p>
    <w:p w14:paraId="52DB2B81" w14:textId="3D20D126" w:rsidR="008C2769" w:rsidRDefault="008C2769" w:rsidP="008C2769">
      <w:pPr>
        <w:shd w:val="clear" w:color="auto" w:fill="FFFFFF"/>
        <w:spacing w:after="0" w:line="240" w:lineRule="auto"/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</w:pPr>
    </w:p>
    <w:p w14:paraId="2F047E1D" w14:textId="5C465DA0" w:rsidR="008C2769" w:rsidRPr="008C2769" w:rsidRDefault="008C2769" w:rsidP="008C276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01F1E"/>
          <w:sz w:val="20"/>
          <w:szCs w:val="20"/>
          <w:lang w:eastAsia="nl-NL"/>
        </w:rPr>
      </w:pPr>
      <w:r w:rsidRPr="008C2769">
        <w:rPr>
          <w:rFonts w:ascii="Verdana" w:eastAsia="Times New Roman" w:hAnsi="Verdana" w:cs="Arial"/>
          <w:color w:val="201F1E"/>
          <w:sz w:val="20"/>
          <w:szCs w:val="20"/>
          <w:lang w:eastAsia="nl-NL"/>
        </w:rPr>
        <w:t>OF</w:t>
      </w:r>
    </w:p>
    <w:p w14:paraId="12829A58" w14:textId="3767E5EE" w:rsidR="008C2769" w:rsidRDefault="008C2769" w:rsidP="008C2769">
      <w:pPr>
        <w:shd w:val="clear" w:color="auto" w:fill="FFFFFF"/>
        <w:spacing w:after="0" w:line="240" w:lineRule="auto"/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</w:pPr>
    </w:p>
    <w:p w14:paraId="2699C6F6" w14:textId="762C00DF" w:rsidR="008C2769" w:rsidRDefault="008C2769" w:rsidP="008C2769">
      <w:pPr>
        <w:shd w:val="clear" w:color="auto" w:fill="FFFFFF"/>
        <w:spacing w:after="0" w:line="240" w:lineRule="auto"/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</w:pPr>
      <w:r w:rsidRPr="008C2769"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  <w:t xml:space="preserve">(…) doet een beroep op de </w:t>
      </w:r>
      <w:r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  <w:t>*starters</w:t>
      </w:r>
      <w:r w:rsidRPr="008C2769"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  <w:t>vrijstelling</w:t>
      </w:r>
      <w:r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  <w:t>*startervrijstelling</w:t>
      </w:r>
      <w:r w:rsidRPr="008C2769"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  <w:t xml:space="preserve"> van artikel 15 lid 1 sub p van de Wet op belastingen van rechtsverkeer</w:t>
      </w:r>
      <w:r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  <w:t>.</w:t>
      </w:r>
    </w:p>
    <w:p w14:paraId="112A5B08" w14:textId="20F30AAA" w:rsidR="008C2769" w:rsidRDefault="008C2769" w:rsidP="008C2769">
      <w:pPr>
        <w:shd w:val="clear" w:color="auto" w:fill="FFFFFF"/>
        <w:spacing w:after="0" w:line="240" w:lineRule="auto"/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</w:pPr>
    </w:p>
    <w:p w14:paraId="26ECDD8C" w14:textId="2F17FE80" w:rsidR="008C2769" w:rsidRPr="008C2769" w:rsidRDefault="008C2769" w:rsidP="008C276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01F1E"/>
          <w:sz w:val="20"/>
          <w:szCs w:val="20"/>
          <w:lang w:eastAsia="nl-NL"/>
        </w:rPr>
      </w:pPr>
      <w:r w:rsidRPr="008C2769">
        <w:rPr>
          <w:rFonts w:ascii="Verdana" w:eastAsia="Times New Roman" w:hAnsi="Verdana" w:cs="Arial"/>
          <w:color w:val="201F1E"/>
          <w:sz w:val="20"/>
          <w:szCs w:val="20"/>
          <w:lang w:eastAsia="nl-NL"/>
        </w:rPr>
        <w:t>OF</w:t>
      </w:r>
    </w:p>
    <w:p w14:paraId="468B5229" w14:textId="69DBCAAE" w:rsidR="008C2769" w:rsidRDefault="008C2769" w:rsidP="008C2769">
      <w:pPr>
        <w:shd w:val="clear" w:color="auto" w:fill="FFFFFF"/>
        <w:spacing w:after="0" w:line="240" w:lineRule="auto"/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</w:pPr>
    </w:p>
    <w:p w14:paraId="27ECABA3" w14:textId="0BF8D78B" w:rsidR="008C2769" w:rsidRPr="008C2769" w:rsidRDefault="008C2769" w:rsidP="008C2769">
      <w:pPr>
        <w:shd w:val="clear" w:color="auto" w:fill="FFFFFF"/>
        <w:spacing w:after="0" w:line="240" w:lineRule="auto"/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</w:pPr>
      <w:r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  <w:t>(…)</w:t>
      </w:r>
      <w:r w:rsidRPr="008C2769"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  <w:t xml:space="preserve"> doet een beroep op de </w:t>
      </w:r>
      <w:r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  <w:t>*starters</w:t>
      </w:r>
      <w:r w:rsidRPr="008C2769"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  <w:t>vrijstelling</w:t>
      </w:r>
      <w:r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  <w:t>*startervrijstelling</w:t>
      </w:r>
      <w:r w:rsidRPr="008C2769"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  <w:t xml:space="preserve"> van artikel 15 lid 1 sub </w:t>
      </w:r>
      <w:r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  <w:t>p</w:t>
      </w:r>
      <w:r w:rsidRPr="008C2769"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  <w:t xml:space="preserve"> van de Wet op belastingen van rechtsverkeer</w:t>
      </w:r>
      <w:r>
        <w:rPr>
          <w:rFonts w:ascii="Verdana" w:eastAsia="Times New Roman" w:hAnsi="Verdana" w:cs="Arial"/>
          <w:i/>
          <w:iCs/>
          <w:color w:val="201F1E"/>
          <w:sz w:val="20"/>
          <w:szCs w:val="20"/>
          <w:lang w:eastAsia="nl-NL"/>
        </w:rPr>
        <w:t>. De startersverklaring wordt aan deze akte gehecht.</w:t>
      </w:r>
    </w:p>
    <w:p w14:paraId="1973B221" w14:textId="5A0CCCB3" w:rsidR="00FD1238" w:rsidRDefault="00FD1238" w:rsidP="00FD1238">
      <w:pPr>
        <w:pStyle w:val="Lijstalinea"/>
        <w:shd w:val="clear" w:color="auto" w:fill="FFFFFF"/>
        <w:spacing w:after="0" w:line="240" w:lineRule="auto"/>
        <w:rPr>
          <w:rFonts w:ascii="Verdana" w:eastAsia="Times New Roman" w:hAnsi="Verdana" w:cs="Segoe UI"/>
          <w:color w:val="201F1E"/>
          <w:sz w:val="23"/>
          <w:szCs w:val="23"/>
          <w:lang w:eastAsia="nl-NL"/>
        </w:rPr>
      </w:pPr>
    </w:p>
    <w:p w14:paraId="3815D06F" w14:textId="77777777" w:rsidR="00675F5E" w:rsidRPr="00FD1238" w:rsidRDefault="00675F5E" w:rsidP="00FD1238">
      <w:pPr>
        <w:pStyle w:val="Lijstalinea"/>
        <w:shd w:val="clear" w:color="auto" w:fill="FFFFFF"/>
        <w:spacing w:after="0" w:line="240" w:lineRule="auto"/>
        <w:rPr>
          <w:rFonts w:ascii="Verdana" w:eastAsia="Times New Roman" w:hAnsi="Verdana" w:cs="Segoe UI"/>
          <w:color w:val="201F1E"/>
          <w:sz w:val="23"/>
          <w:szCs w:val="23"/>
          <w:lang w:eastAsia="nl-NL"/>
        </w:rPr>
      </w:pPr>
    </w:p>
    <w:p w14:paraId="3368F4C8" w14:textId="4BBBF530" w:rsidR="0056538B" w:rsidRPr="0056538B" w:rsidRDefault="0056538B" w:rsidP="00FD1238">
      <w:pPr>
        <w:spacing w:after="0" w:line="240" w:lineRule="auto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  <w:r w:rsidRPr="0056538B"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  <w:t>###</w:t>
      </w:r>
      <w:r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  <w:t>###################################################</w:t>
      </w:r>
    </w:p>
    <w:p w14:paraId="3AD2F2E5" w14:textId="37EA1142" w:rsidR="0056538B" w:rsidRDefault="0056538B" w:rsidP="00FD1238">
      <w:pPr>
        <w:spacing w:after="0" w:line="240" w:lineRule="auto"/>
        <w:rPr>
          <w:rFonts w:ascii="Verdana" w:eastAsia="Times New Roman" w:hAnsi="Verdana" w:cs="Arial"/>
          <w:b/>
          <w:bCs/>
          <w:color w:val="201F1E"/>
          <w:sz w:val="20"/>
          <w:szCs w:val="20"/>
          <w:u w:val="single"/>
          <w:shd w:val="clear" w:color="auto" w:fill="FFFFFF"/>
          <w:lang w:eastAsia="nl-NL"/>
        </w:rPr>
      </w:pPr>
    </w:p>
    <w:p w14:paraId="29A4F023" w14:textId="77777777" w:rsidR="00675F5E" w:rsidRDefault="00675F5E" w:rsidP="00FD1238">
      <w:pPr>
        <w:spacing w:after="0" w:line="240" w:lineRule="auto"/>
        <w:rPr>
          <w:rFonts w:ascii="Verdana" w:eastAsia="Times New Roman" w:hAnsi="Verdana" w:cs="Arial"/>
          <w:b/>
          <w:bCs/>
          <w:color w:val="201F1E"/>
          <w:sz w:val="20"/>
          <w:szCs w:val="20"/>
          <w:u w:val="single"/>
          <w:shd w:val="clear" w:color="auto" w:fill="FFFFFF"/>
          <w:lang w:eastAsia="nl-NL"/>
        </w:rPr>
      </w:pPr>
    </w:p>
    <w:p w14:paraId="0F27374B" w14:textId="23AE8E47" w:rsidR="00FD1238" w:rsidRPr="00FD1238" w:rsidRDefault="00FD1238" w:rsidP="00FD1238">
      <w:pPr>
        <w:spacing w:after="0" w:line="240" w:lineRule="auto"/>
        <w:rPr>
          <w:rFonts w:ascii="Verdana" w:eastAsia="Times New Roman" w:hAnsi="Verdana" w:cs="Arial"/>
          <w:b/>
          <w:bCs/>
          <w:color w:val="201F1E"/>
          <w:sz w:val="20"/>
          <w:szCs w:val="20"/>
          <w:u w:val="single"/>
          <w:shd w:val="clear" w:color="auto" w:fill="FFFFFF"/>
          <w:lang w:eastAsia="nl-NL"/>
        </w:rPr>
      </w:pPr>
      <w:r w:rsidRPr="00FD1238">
        <w:rPr>
          <w:rFonts w:ascii="Verdana" w:eastAsia="Times New Roman" w:hAnsi="Verdana" w:cs="Arial"/>
          <w:b/>
          <w:bCs/>
          <w:color w:val="201F1E"/>
          <w:sz w:val="20"/>
          <w:szCs w:val="20"/>
          <w:u w:val="single"/>
          <w:shd w:val="clear" w:color="auto" w:fill="FFFFFF"/>
          <w:lang w:eastAsia="nl-NL"/>
        </w:rPr>
        <w:t>Indicatie</w:t>
      </w:r>
      <w:r w:rsidR="000937AE">
        <w:rPr>
          <w:rFonts w:ascii="Verdana" w:eastAsia="Times New Roman" w:hAnsi="Verdana" w:cs="Arial"/>
          <w:b/>
          <w:bCs/>
          <w:color w:val="201F1E"/>
          <w:sz w:val="20"/>
          <w:szCs w:val="20"/>
          <w:u w:val="single"/>
          <w:shd w:val="clear" w:color="auto" w:fill="FFFFFF"/>
          <w:lang w:eastAsia="nl-NL"/>
        </w:rPr>
        <w:t xml:space="preserve"> </w:t>
      </w:r>
      <w:proofErr w:type="spellStart"/>
      <w:r w:rsidRPr="00FD1238">
        <w:rPr>
          <w:rFonts w:ascii="Verdana" w:eastAsia="Times New Roman" w:hAnsi="Verdana" w:cs="Arial"/>
          <w:b/>
          <w:bCs/>
          <w:color w:val="201F1E"/>
          <w:sz w:val="20"/>
          <w:szCs w:val="20"/>
          <w:u w:val="single"/>
          <w:shd w:val="clear" w:color="auto" w:fill="FFFFFF"/>
          <w:lang w:eastAsia="nl-NL"/>
        </w:rPr>
        <w:t>OVBLaagTarief</w:t>
      </w:r>
      <w:proofErr w:type="spellEnd"/>
      <w:r w:rsidRPr="00FD1238">
        <w:rPr>
          <w:rFonts w:ascii="Verdana" w:eastAsia="Times New Roman" w:hAnsi="Verdana" w:cs="Arial"/>
          <w:b/>
          <w:bCs/>
          <w:color w:val="201F1E"/>
          <w:sz w:val="20"/>
          <w:szCs w:val="20"/>
          <w:u w:val="single"/>
          <w:shd w:val="clear" w:color="auto" w:fill="FFFFFF"/>
          <w:lang w:eastAsia="nl-NL"/>
        </w:rPr>
        <w:t>:</w:t>
      </w:r>
    </w:p>
    <w:p w14:paraId="5801D87E" w14:textId="59DB43DF" w:rsidR="00FD1238" w:rsidRPr="00FD1238" w:rsidRDefault="00FD1238" w:rsidP="00FD1238">
      <w:pPr>
        <w:spacing w:after="0" w:line="240" w:lineRule="auto"/>
        <w:rPr>
          <w:rFonts w:ascii="Verdana" w:eastAsia="Times New Roman" w:hAnsi="Verdana" w:cs="Arial"/>
          <w:b/>
          <w:bCs/>
          <w:color w:val="201F1E"/>
          <w:sz w:val="20"/>
          <w:szCs w:val="20"/>
          <w:u w:val="single"/>
          <w:shd w:val="clear" w:color="auto" w:fill="FFFFFF"/>
          <w:lang w:eastAsia="nl-NL"/>
        </w:rPr>
      </w:pPr>
    </w:p>
    <w:p w14:paraId="4BC7A3A5" w14:textId="37B603A3" w:rsidR="00FD1238" w:rsidRDefault="00FD1238" w:rsidP="00FD1238">
      <w:pPr>
        <w:spacing w:after="0" w:line="240" w:lineRule="auto"/>
        <w:rPr>
          <w:rFonts w:ascii="Verdana" w:eastAsia="Times New Roman" w:hAnsi="Verdana" w:cs="Arial"/>
          <w:b/>
          <w:bCs/>
          <w:color w:val="201F1E"/>
          <w:sz w:val="20"/>
          <w:szCs w:val="20"/>
          <w:shd w:val="clear" w:color="auto" w:fill="FFFFFF"/>
          <w:lang w:eastAsia="nl-NL"/>
        </w:rPr>
      </w:pPr>
      <w:r w:rsidRPr="00FD1238">
        <w:rPr>
          <w:rFonts w:ascii="Verdana" w:eastAsia="Times New Roman" w:hAnsi="Verdana" w:cs="Arial"/>
          <w:b/>
          <w:bCs/>
          <w:color w:val="201F1E"/>
          <w:sz w:val="20"/>
          <w:szCs w:val="20"/>
          <w:shd w:val="clear" w:color="auto" w:fill="FFFFFF"/>
          <w:lang w:eastAsia="nl-NL"/>
        </w:rPr>
        <w:t>verplicht in de akte:</w:t>
      </w:r>
    </w:p>
    <w:p w14:paraId="5CB643D4" w14:textId="77777777" w:rsidR="00FD1238" w:rsidRPr="00FD1238" w:rsidRDefault="00FD1238" w:rsidP="00FD1238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</w:pPr>
    </w:p>
    <w:p w14:paraId="72A1F622" w14:textId="77777777" w:rsidR="00FD1238" w:rsidRPr="00FD1238" w:rsidRDefault="00FD1238" w:rsidP="00FD12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01F1E"/>
          <w:sz w:val="20"/>
          <w:szCs w:val="20"/>
          <w:lang w:eastAsia="nl-NL"/>
        </w:rPr>
      </w:pPr>
      <w:r w:rsidRPr="00FD1238">
        <w:rPr>
          <w:rFonts w:ascii="Verdana" w:eastAsia="Times New Roman" w:hAnsi="Verdana" w:cs="Arial"/>
          <w:color w:val="201F1E"/>
          <w:sz w:val="20"/>
          <w:szCs w:val="20"/>
          <w:lang w:eastAsia="nl-NL"/>
        </w:rPr>
        <w:t xml:space="preserve">vermelding van het wetsartikel: </w:t>
      </w:r>
    </w:p>
    <w:p w14:paraId="39E84721" w14:textId="77777777" w:rsidR="00FD1238" w:rsidRDefault="00FD1238" w:rsidP="00FD1238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1F1E"/>
          <w:sz w:val="20"/>
          <w:szCs w:val="20"/>
          <w:lang w:eastAsia="nl-NL"/>
        </w:rPr>
      </w:pPr>
    </w:p>
    <w:p w14:paraId="6E80FCE1" w14:textId="4FF960B2" w:rsidR="00FD1238" w:rsidRDefault="00FD1238" w:rsidP="00FD12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01F1E"/>
          <w:sz w:val="20"/>
          <w:szCs w:val="20"/>
          <w:lang w:eastAsia="nl-NL"/>
        </w:rPr>
      </w:pPr>
      <w:r w:rsidRPr="00FD1238">
        <w:rPr>
          <w:rFonts w:ascii="Verdana" w:eastAsia="Times New Roman" w:hAnsi="Verdana" w:cs="Arial"/>
          <w:color w:val="201F1E"/>
          <w:sz w:val="20"/>
          <w:szCs w:val="20"/>
          <w:lang w:eastAsia="nl-NL"/>
        </w:rPr>
        <w:t xml:space="preserve">artikel 14, tweede lid, van de Wet </w:t>
      </w:r>
      <w:r w:rsidR="003D2598">
        <w:rPr>
          <w:rFonts w:ascii="Verdana" w:eastAsia="Times New Roman" w:hAnsi="Verdana" w:cs="Arial"/>
          <w:color w:val="201F1E"/>
          <w:sz w:val="20"/>
          <w:szCs w:val="20"/>
          <w:lang w:eastAsia="nl-NL"/>
        </w:rPr>
        <w:t xml:space="preserve">op </w:t>
      </w:r>
      <w:r w:rsidRPr="00FD1238">
        <w:rPr>
          <w:rFonts w:ascii="Verdana" w:eastAsia="Times New Roman" w:hAnsi="Verdana" w:cs="Arial"/>
          <w:color w:val="201F1E"/>
          <w:sz w:val="20"/>
          <w:szCs w:val="20"/>
          <w:lang w:eastAsia="nl-NL"/>
        </w:rPr>
        <w:t>belastingen van rechtsverkeer (met diverse schrijfwijzen)</w:t>
      </w:r>
    </w:p>
    <w:p w14:paraId="5160066F" w14:textId="379D3C6B" w:rsidR="008C2769" w:rsidRDefault="008C2769" w:rsidP="00FD12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01F1E"/>
          <w:sz w:val="20"/>
          <w:szCs w:val="20"/>
          <w:lang w:eastAsia="nl-NL"/>
        </w:rPr>
      </w:pPr>
    </w:p>
    <w:p w14:paraId="26239636" w14:textId="3E465814" w:rsidR="00675F5E" w:rsidRDefault="00675F5E" w:rsidP="00FD12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01F1E"/>
          <w:sz w:val="20"/>
          <w:szCs w:val="20"/>
          <w:lang w:eastAsia="nl-NL"/>
        </w:rPr>
      </w:pPr>
    </w:p>
    <w:p w14:paraId="2BADD587" w14:textId="77777777" w:rsidR="00675F5E" w:rsidRDefault="00675F5E" w:rsidP="00FD123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01F1E"/>
          <w:sz w:val="20"/>
          <w:szCs w:val="20"/>
          <w:lang w:eastAsia="nl-NL"/>
        </w:rPr>
      </w:pPr>
    </w:p>
    <w:p w14:paraId="38B4C4F4" w14:textId="7F27719C" w:rsidR="00FD1238" w:rsidRPr="00FD1238" w:rsidRDefault="008C2769" w:rsidP="00FD1238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1F1E"/>
          <w:sz w:val="20"/>
          <w:szCs w:val="20"/>
          <w:lang w:eastAsia="nl-NL"/>
        </w:rPr>
      </w:pPr>
      <w:r>
        <w:rPr>
          <w:rFonts w:ascii="Verdana" w:eastAsia="Times New Roman" w:hAnsi="Verdana" w:cs="Arial"/>
          <w:b/>
          <w:bCs/>
          <w:color w:val="201F1E"/>
          <w:sz w:val="20"/>
          <w:szCs w:val="20"/>
          <w:lang w:eastAsia="nl-NL"/>
        </w:rPr>
        <w:lastRenderedPageBreak/>
        <w:t xml:space="preserve">aanvullend </w:t>
      </w:r>
      <w:r w:rsidR="00FD1238" w:rsidRPr="00FD1238">
        <w:rPr>
          <w:rFonts w:ascii="Verdana" w:eastAsia="Times New Roman" w:hAnsi="Verdana" w:cs="Arial"/>
          <w:b/>
          <w:bCs/>
          <w:color w:val="201F1E"/>
          <w:sz w:val="20"/>
          <w:szCs w:val="20"/>
          <w:lang w:eastAsia="nl-NL"/>
        </w:rPr>
        <w:t>gewenste in de akte:</w:t>
      </w:r>
    </w:p>
    <w:p w14:paraId="0181B557" w14:textId="77777777" w:rsidR="00FD1238" w:rsidRPr="00FD1238" w:rsidRDefault="00FD1238" w:rsidP="00FD1238">
      <w:pPr>
        <w:shd w:val="clear" w:color="auto" w:fill="FFFFFF"/>
        <w:spacing w:after="0" w:line="240" w:lineRule="auto"/>
        <w:rPr>
          <w:rFonts w:ascii="Verdana" w:eastAsia="Times New Roman" w:hAnsi="Verdana" w:cs="Segoe UI"/>
          <w:b/>
          <w:bCs/>
          <w:color w:val="201F1E"/>
          <w:sz w:val="23"/>
          <w:szCs w:val="23"/>
          <w:lang w:eastAsia="nl-NL"/>
        </w:rPr>
      </w:pPr>
    </w:p>
    <w:p w14:paraId="6818EF2A" w14:textId="77777777" w:rsidR="00FD1238" w:rsidRPr="009F2B0F" w:rsidRDefault="00FD1238" w:rsidP="009F2B0F">
      <w:pPr>
        <w:shd w:val="clear" w:color="auto" w:fill="FFFFFF"/>
        <w:spacing w:after="0" w:line="240" w:lineRule="auto"/>
        <w:rPr>
          <w:rFonts w:ascii="Verdana" w:eastAsia="Times New Roman" w:hAnsi="Verdana" w:cs="Segoe UI"/>
          <w:color w:val="201F1E"/>
          <w:sz w:val="23"/>
          <w:szCs w:val="23"/>
          <w:lang w:eastAsia="nl-NL"/>
        </w:rPr>
      </w:pPr>
      <w:r w:rsidRPr="009F2B0F">
        <w:rPr>
          <w:rFonts w:ascii="Verdana" w:eastAsia="Times New Roman" w:hAnsi="Verdana" w:cs="Arial"/>
          <w:color w:val="201F1E"/>
          <w:sz w:val="20"/>
          <w:szCs w:val="20"/>
          <w:lang w:eastAsia="nl-NL"/>
        </w:rPr>
        <w:t>de tekst: "verklaring overdrachtsbelasting laag tarief", "laag tarief" of "verlaagd tarief"</w:t>
      </w:r>
    </w:p>
    <w:p w14:paraId="436EF63C" w14:textId="6471994E" w:rsidR="00FD1238" w:rsidRDefault="00FD1238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</w:p>
    <w:p w14:paraId="75132CCF" w14:textId="7B3C977D" w:rsidR="00070FE9" w:rsidRPr="00070FE9" w:rsidRDefault="00070FE9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u w:val="single"/>
          <w:shd w:val="clear" w:color="auto" w:fill="FFFFFF"/>
          <w:lang w:eastAsia="nl-NL"/>
        </w:rPr>
      </w:pPr>
      <w:r w:rsidRPr="00070FE9">
        <w:rPr>
          <w:rFonts w:ascii="Verdana" w:eastAsia="Times New Roman" w:hAnsi="Verdana" w:cs="Arial"/>
          <w:color w:val="201F1E"/>
          <w:sz w:val="20"/>
          <w:szCs w:val="20"/>
          <w:u w:val="single"/>
          <w:shd w:val="clear" w:color="auto" w:fill="FFFFFF"/>
          <w:lang w:eastAsia="nl-NL"/>
        </w:rPr>
        <w:t>voorbeeldteksten:</w:t>
      </w:r>
    </w:p>
    <w:p w14:paraId="5E8C9364" w14:textId="51FF3C44" w:rsidR="00070FE9" w:rsidRDefault="00070FE9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</w:p>
    <w:p w14:paraId="47B7EDD8" w14:textId="6BCC5DA2" w:rsidR="00070FE9" w:rsidRDefault="00070FE9" w:rsidP="00FD1238">
      <w:pPr>
        <w:spacing w:after="0"/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</w:pPr>
      <w:r w:rsidRPr="00CC0906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(…) heeft verklaard dat het bepaalde in artikel 14, tweede lid, van de Wet </w:t>
      </w:r>
      <w:r w:rsidR="003D2598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op </w:t>
      </w:r>
      <w:r w:rsidRPr="00CC0906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belastingen van rechtsverkeer op *hem*haar*hen </w:t>
      </w:r>
      <w:r w:rsidR="009A4843" w:rsidRPr="00CC0906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>van toepassing is.</w:t>
      </w:r>
      <w:r w:rsidR="00CC0906" w:rsidRPr="00CC0906">
        <w:rPr>
          <w:i/>
          <w:iCs/>
        </w:rPr>
        <w:t xml:space="preserve"> </w:t>
      </w:r>
    </w:p>
    <w:p w14:paraId="36883AA5" w14:textId="233E9526" w:rsidR="00395FE9" w:rsidRDefault="00395FE9" w:rsidP="00FD1238">
      <w:pPr>
        <w:spacing w:after="0"/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</w:pPr>
    </w:p>
    <w:p w14:paraId="32EC980A" w14:textId="0B4E0251" w:rsidR="00395FE9" w:rsidRDefault="00395FE9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  <w:r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  <w:t>OF</w:t>
      </w:r>
    </w:p>
    <w:p w14:paraId="4ABBA668" w14:textId="1BEBBA7A" w:rsidR="00ED6085" w:rsidRDefault="00ED6085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</w:p>
    <w:p w14:paraId="4173FF31" w14:textId="36434B1D" w:rsidR="00ED6085" w:rsidRPr="00CC0906" w:rsidRDefault="00ED6085" w:rsidP="00ED6085">
      <w:pPr>
        <w:spacing w:after="0"/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</w:pPr>
      <w:r w:rsidRPr="00CC0906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(…) heeft verklaard dat het bepaalde in artikel 14, tweede lid, van de Wet </w:t>
      </w:r>
      <w:r w:rsidR="003D2598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op </w:t>
      </w:r>
      <w:r w:rsidRPr="00CC0906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>belastingen van rechtsverkeer op *hem*haar*hen van toepassing is. De verklaring overdrachtsbelasting laag</w:t>
      </w:r>
      <w:r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 </w:t>
      </w:r>
      <w:r w:rsidRPr="00CC0906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>tarief wordt aan deze akte gehecht.</w:t>
      </w:r>
      <w:r w:rsidRPr="00CC0906">
        <w:rPr>
          <w:i/>
          <w:iCs/>
        </w:rPr>
        <w:t xml:space="preserve"> </w:t>
      </w:r>
    </w:p>
    <w:p w14:paraId="3D5D93DE" w14:textId="1A11C103" w:rsidR="00ED6085" w:rsidRDefault="00ED6085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</w:p>
    <w:p w14:paraId="36264B22" w14:textId="59B86DAD" w:rsidR="00ED6085" w:rsidRDefault="00ED6085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  <w:r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  <w:t>OF</w:t>
      </w:r>
    </w:p>
    <w:p w14:paraId="2D5C49EF" w14:textId="488D167D" w:rsidR="00395FE9" w:rsidRDefault="00395FE9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</w:p>
    <w:p w14:paraId="2E4A8017" w14:textId="6C4D3716" w:rsidR="00395FE9" w:rsidRPr="00CC0906" w:rsidRDefault="00395FE9" w:rsidP="00395FE9">
      <w:pPr>
        <w:spacing w:after="0"/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</w:pPr>
      <w:r w:rsidRPr="00CC0906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(…) heeft verklaard dat het bepaalde in artikel 14, tweede lid, van de Wet </w:t>
      </w:r>
      <w:r w:rsidR="003D2598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op </w:t>
      </w:r>
      <w:r w:rsidRPr="00CC0906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>belastingen van rechtsverkeer op *hem*haar*hen van toepassing is.</w:t>
      </w:r>
      <w:r w:rsidRPr="00CC0906">
        <w:rPr>
          <w:i/>
          <w:iCs/>
        </w:rPr>
        <w:t xml:space="preserve"> </w:t>
      </w:r>
      <w:r w:rsidRPr="00CC0906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>De overdrachtsbelasting bedraagt twee procent (2%) over *, zijnde *.</w:t>
      </w:r>
    </w:p>
    <w:p w14:paraId="2ECD9FB1" w14:textId="21740399" w:rsidR="009A4843" w:rsidRDefault="009A4843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</w:p>
    <w:p w14:paraId="7ABAC431" w14:textId="367AEEB6" w:rsidR="009A4843" w:rsidRDefault="009A4843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  <w:r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  <w:t>OF</w:t>
      </w:r>
    </w:p>
    <w:p w14:paraId="25247EE1" w14:textId="04245183" w:rsidR="00395FE9" w:rsidRDefault="00395FE9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</w:p>
    <w:p w14:paraId="31149E84" w14:textId="271AA50B" w:rsidR="009A4843" w:rsidRPr="00CC0906" w:rsidRDefault="009A4843" w:rsidP="00FD1238">
      <w:pPr>
        <w:spacing w:after="0"/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</w:pPr>
      <w:r w:rsidRPr="00CC0906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(…) heeft verklaard dat het bepaalde in artikel 14, tweede lid, van de Wet </w:t>
      </w:r>
      <w:r w:rsidR="003D2598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op </w:t>
      </w:r>
      <w:r w:rsidRPr="00CC0906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>belastingen van rechtsverkeer op *hem*haar*hen van toepassing is. De verklaring overdrachtsbelasting laag</w:t>
      </w:r>
      <w:r w:rsidR="00CC0906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 </w:t>
      </w:r>
      <w:r w:rsidRPr="00CC0906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>tarief wordt aan deze akte gehecht.</w:t>
      </w:r>
      <w:r w:rsidR="00CC0906" w:rsidRPr="00CC0906">
        <w:rPr>
          <w:i/>
          <w:iCs/>
        </w:rPr>
        <w:t xml:space="preserve"> </w:t>
      </w:r>
      <w:r w:rsidR="00CC0906" w:rsidRPr="00CC0906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>De overdrachtsbelasting bedraagt twee procent (2%) over *, zijnde *.</w:t>
      </w:r>
    </w:p>
    <w:p w14:paraId="1731190D" w14:textId="519ACC6E" w:rsidR="009A4843" w:rsidRDefault="009A4843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</w:p>
    <w:p w14:paraId="3AA18774" w14:textId="6D5649C7" w:rsidR="009A4843" w:rsidRDefault="009A4843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  <w:r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  <w:t>OF</w:t>
      </w:r>
    </w:p>
    <w:p w14:paraId="22593B19" w14:textId="543D05D2" w:rsidR="00D94892" w:rsidRDefault="00D94892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</w:p>
    <w:p w14:paraId="11FEBD83" w14:textId="5F45CA83" w:rsidR="00D94892" w:rsidRPr="00395FE9" w:rsidRDefault="00D94892" w:rsidP="00D94892">
      <w:pPr>
        <w:spacing w:after="0"/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</w:pPr>
      <w:r w:rsidRPr="00395FE9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(…) heeft verklaard dat het bepaalde in artikel 14, tweede lid, van de Wet </w:t>
      </w:r>
      <w:r w:rsidR="003D2598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op </w:t>
      </w:r>
      <w:r w:rsidRPr="00395FE9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>belastingen van rechtsverkeer op *hem*haar*hen van toepassing is. Derhalve is het *laag*verlaagd tarief van toepassing.</w:t>
      </w:r>
      <w:r w:rsidRPr="00D94892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 </w:t>
      </w:r>
    </w:p>
    <w:p w14:paraId="64B9FD88" w14:textId="4E402C0A" w:rsidR="00D94892" w:rsidRDefault="00D94892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</w:p>
    <w:p w14:paraId="0EE6491D" w14:textId="24ACBDEC" w:rsidR="00D94892" w:rsidRDefault="00D94892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  <w:r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  <w:t>OF</w:t>
      </w:r>
    </w:p>
    <w:p w14:paraId="63253111" w14:textId="24D84407" w:rsidR="00395FE9" w:rsidRDefault="00395FE9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</w:p>
    <w:p w14:paraId="36670EBC" w14:textId="637F1F54" w:rsidR="00D94892" w:rsidRPr="00395FE9" w:rsidRDefault="00D94892" w:rsidP="00D94892">
      <w:pPr>
        <w:spacing w:after="0"/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</w:pPr>
      <w:r w:rsidRPr="00395FE9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(…) heeft verklaard dat het bepaalde in artikel 14, tweede lid, van de Wet </w:t>
      </w:r>
      <w:r w:rsidR="003D2598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op </w:t>
      </w:r>
      <w:r w:rsidRPr="00395FE9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>belastingen van rechtsverkeer op *hem*haar*hen van toepassing is. Derhalve is het *laag*verlaagd tarief van toepassing.</w:t>
      </w:r>
      <w:r w:rsidRPr="00D94892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 </w:t>
      </w:r>
      <w:r w:rsidRPr="00CC0906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>De verklaring overdrachtsbelasting laag</w:t>
      </w:r>
      <w:r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 </w:t>
      </w:r>
      <w:r w:rsidRPr="00CC0906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>tarief wordt aan deze akte gehecht.</w:t>
      </w:r>
    </w:p>
    <w:p w14:paraId="36F11BDA" w14:textId="2AAD17B7" w:rsidR="00D94892" w:rsidRDefault="00D94892" w:rsidP="00FD1238">
      <w:pPr>
        <w:spacing w:after="0"/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</w:pPr>
    </w:p>
    <w:p w14:paraId="04311EDA" w14:textId="74C8B980" w:rsidR="00D94892" w:rsidRDefault="00D94892" w:rsidP="00FD1238">
      <w:pPr>
        <w:spacing w:after="0"/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</w:pPr>
      <w:r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  <w:t>OF</w:t>
      </w:r>
    </w:p>
    <w:p w14:paraId="27745ED6" w14:textId="77777777" w:rsidR="00D94892" w:rsidRDefault="00D94892" w:rsidP="00FD1238">
      <w:pPr>
        <w:spacing w:after="0"/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</w:pPr>
    </w:p>
    <w:p w14:paraId="17B674C5" w14:textId="3C0466AE" w:rsidR="00395FE9" w:rsidRPr="00395FE9" w:rsidRDefault="00395FE9" w:rsidP="00FD1238">
      <w:pPr>
        <w:spacing w:after="0"/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</w:pPr>
      <w:r w:rsidRPr="00395FE9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(…) heeft verklaard dat het bepaalde in artikel 14, tweede lid, van de Wet </w:t>
      </w:r>
      <w:r w:rsidR="003D2598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op </w:t>
      </w:r>
      <w:r w:rsidRPr="00395FE9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>belastingen van rechtsverkeer op *hem*haar*hen van toepassing is. Derhalve is het *laag*verlaagd tarief van toepassing. De overdrachtsbelasting bedraagt twee procent (2%) over *, zijnde *.</w:t>
      </w:r>
    </w:p>
    <w:p w14:paraId="6F950C6D" w14:textId="440AB300" w:rsidR="00395FE9" w:rsidRDefault="00395FE9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</w:p>
    <w:p w14:paraId="6981D526" w14:textId="504D49BD" w:rsidR="00395FE9" w:rsidRDefault="00395FE9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  <w:r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  <w:t>OF</w:t>
      </w:r>
    </w:p>
    <w:p w14:paraId="469ED3C7" w14:textId="562F439F" w:rsidR="009A4843" w:rsidRDefault="009A4843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</w:p>
    <w:p w14:paraId="6E420BCB" w14:textId="691907C0" w:rsidR="009A4843" w:rsidRPr="00CC0906" w:rsidRDefault="009A4843" w:rsidP="00FD1238">
      <w:pPr>
        <w:spacing w:after="0"/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</w:pPr>
      <w:bookmarkStart w:id="2" w:name="_Hlk57360034"/>
      <w:r w:rsidRPr="00CC0906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(…) heeft verklaard dat het bepaalde in artikel 14, tweede lid, van de Wet </w:t>
      </w:r>
      <w:r w:rsidR="003D2598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op </w:t>
      </w:r>
      <w:r w:rsidRPr="00CC0906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belastingen van rechtsverkeer op *hem*haar*hen van toepassing is. Derhalve is het *laag*verlaagd tarief </w:t>
      </w:r>
      <w:r w:rsidR="00CC0906" w:rsidRPr="00CC0906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van toepassing. </w:t>
      </w:r>
      <w:r w:rsidR="00D94892" w:rsidRPr="00CC0906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>De verklaring overdrachtsbelasting laag</w:t>
      </w:r>
      <w:r w:rsidR="00D94892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 </w:t>
      </w:r>
      <w:r w:rsidR="00D94892" w:rsidRPr="00CC0906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tarief wordt aan deze akte gehecht. </w:t>
      </w:r>
      <w:r w:rsidR="00CC0906" w:rsidRPr="00CC0906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>De overdrachtsbelasting bedraagt twee procent (2%) over *, zijnde *.</w:t>
      </w:r>
    </w:p>
    <w:bookmarkEnd w:id="2"/>
    <w:p w14:paraId="15B1A539" w14:textId="5B1C3660" w:rsidR="002F4C7C" w:rsidRDefault="002F4C7C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</w:p>
    <w:p w14:paraId="645EE354" w14:textId="20EAFE07" w:rsidR="002F4C7C" w:rsidRDefault="002F4C7C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</w:p>
    <w:p w14:paraId="722009C3" w14:textId="76E32482" w:rsidR="00D94892" w:rsidRDefault="00675F5E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  <w:r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  <w:t>#######################################################</w:t>
      </w:r>
    </w:p>
    <w:p w14:paraId="35E6A655" w14:textId="77777777" w:rsidR="00D94892" w:rsidRDefault="00D94892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</w:p>
    <w:p w14:paraId="2CA75143" w14:textId="77777777" w:rsidR="00675F5E" w:rsidRDefault="00675F5E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u w:val="single"/>
          <w:shd w:val="clear" w:color="auto" w:fill="FFFFFF"/>
          <w:lang w:eastAsia="nl-NL"/>
        </w:rPr>
      </w:pPr>
    </w:p>
    <w:p w14:paraId="10653E9D" w14:textId="02FC85D8" w:rsidR="002F4C7C" w:rsidRPr="008A3BCB" w:rsidRDefault="008A3BCB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u w:val="single"/>
          <w:shd w:val="clear" w:color="auto" w:fill="FFFFFF"/>
          <w:lang w:eastAsia="nl-NL"/>
        </w:rPr>
      </w:pPr>
      <w:r w:rsidRPr="008A3BCB">
        <w:rPr>
          <w:rFonts w:ascii="Verdana" w:eastAsia="Times New Roman" w:hAnsi="Verdana" w:cs="Arial"/>
          <w:color w:val="201F1E"/>
          <w:sz w:val="20"/>
          <w:szCs w:val="20"/>
          <w:u w:val="single"/>
          <w:shd w:val="clear" w:color="auto" w:fill="FFFFFF"/>
          <w:lang w:eastAsia="nl-NL"/>
        </w:rPr>
        <w:t>Vragen t.b.v. intelligente modellen</w:t>
      </w:r>
    </w:p>
    <w:p w14:paraId="1FD05D09" w14:textId="198A7913" w:rsidR="008A3BCB" w:rsidRPr="00DD6705" w:rsidRDefault="00DD6705" w:rsidP="00FD1238">
      <w:pPr>
        <w:spacing w:after="0"/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</w:pPr>
      <w:r w:rsidRPr="00DD6705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>NB. Deze vragen kunnen ook gebruikt worden als rekentool</w:t>
      </w:r>
      <w:r w:rsidR="003F4DD8">
        <w:rPr>
          <w:rFonts w:ascii="Verdana" w:eastAsia="Times New Roman" w:hAnsi="Verdana" w:cs="Arial"/>
          <w:i/>
          <w:iCs/>
          <w:color w:val="201F1E"/>
          <w:sz w:val="20"/>
          <w:szCs w:val="20"/>
          <w:shd w:val="clear" w:color="auto" w:fill="FFFFFF"/>
          <w:lang w:eastAsia="nl-NL"/>
        </w:rPr>
        <w:t xml:space="preserve"> naast de beslisboom</w:t>
      </w:r>
    </w:p>
    <w:p w14:paraId="29426AD8" w14:textId="77777777" w:rsidR="00DD6705" w:rsidRPr="002F4C7C" w:rsidRDefault="00DD6705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</w:p>
    <w:p w14:paraId="6E5C34A0" w14:textId="6F75FEC1" w:rsidR="002F4C7C" w:rsidRPr="002F4C7C" w:rsidRDefault="002F4C7C" w:rsidP="002F4C7C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Calibri"/>
          <w:color w:val="201F1E"/>
          <w:sz w:val="20"/>
          <w:szCs w:val="20"/>
        </w:rPr>
      </w:pP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In de intelligente modellen zouden de volgende vragen kunnen worden ingebouwd</w:t>
      </w:r>
      <w:r w:rsidR="008A3BCB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.</w:t>
      </w:r>
    </w:p>
    <w:p w14:paraId="625BC0A7" w14:textId="2C308F53" w:rsidR="002F4C7C" w:rsidRPr="002F4C7C" w:rsidRDefault="008A3BCB" w:rsidP="002F4C7C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Calibri"/>
          <w:color w:val="201F1E"/>
          <w:sz w:val="20"/>
          <w:szCs w:val="20"/>
        </w:rPr>
      </w:pPr>
      <w:r w:rsidRPr="008A3BCB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sym w:font="Wingdings" w:char="F0E0"/>
      </w:r>
      <w:r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 </w:t>
      </w:r>
      <w:r w:rsidR="002F4C7C"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na de vraag over welk tarief van toepassing is: 2% of 8%. Alleen bij 2% volgen onderstaande vragen</w:t>
      </w:r>
      <w:r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:</w:t>
      </w:r>
    </w:p>
    <w:p w14:paraId="74FAC179" w14:textId="77777777" w:rsidR="002F4C7C" w:rsidRPr="002F4C7C" w:rsidRDefault="002F4C7C" w:rsidP="002F4C7C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Calibri"/>
          <w:color w:val="201F1E"/>
          <w:sz w:val="20"/>
          <w:szCs w:val="20"/>
        </w:rPr>
      </w:pP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 </w:t>
      </w:r>
    </w:p>
    <w:p w14:paraId="52DD33FF" w14:textId="77777777" w:rsidR="002F4C7C" w:rsidRPr="002F4C7C" w:rsidRDefault="002F4C7C" w:rsidP="002F4C7C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Calibri"/>
          <w:color w:val="201F1E"/>
          <w:sz w:val="20"/>
          <w:szCs w:val="20"/>
        </w:rPr>
      </w:pP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Is er sprake van een startersverklaring ja/nee</w:t>
      </w:r>
    </w:p>
    <w:p w14:paraId="0B208CFD" w14:textId="379E19C2" w:rsidR="002F4C7C" w:rsidRPr="002F4C7C" w:rsidRDefault="002F4C7C" w:rsidP="002F4C7C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201F1E"/>
          <w:sz w:val="20"/>
          <w:szCs w:val="20"/>
        </w:rPr>
      </w:pP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bij nee: is er een verklaring overdrachtsbelasting verlaagd tarief ja/nee</w:t>
      </w:r>
    </w:p>
    <w:p w14:paraId="24D2F162" w14:textId="36AAD2C6" w:rsidR="002F4C7C" w:rsidRDefault="002F4C7C" w:rsidP="002F4C7C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201F1E"/>
          <w:sz w:val="20"/>
          <w:szCs w:val="20"/>
        </w:rPr>
      </w:pP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bij ja: 2% tarief van toepassing (volgt voorbeeldtekst en aanhechting verklaring</w:t>
      </w:r>
      <w:r w:rsidR="00D0073A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(en)</w:t>
      </w: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 </w:t>
      </w:r>
      <w:r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overdrachtsbelasting verlaagd tarief </w:t>
      </w: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aan </w:t>
      </w:r>
      <w:r w:rsidR="001D6D9D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de </w:t>
      </w: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akte)</w:t>
      </w:r>
    </w:p>
    <w:p w14:paraId="39C4A4F9" w14:textId="29329C7B" w:rsidR="002F4C7C" w:rsidRPr="001D6D9D" w:rsidRDefault="002F4C7C" w:rsidP="002F4C7C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201F1E"/>
          <w:sz w:val="20"/>
          <w:szCs w:val="20"/>
        </w:rPr>
      </w:pP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bij nee: 8% tarief van toepassing (huidige tekst </w:t>
      </w:r>
      <w:r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in de akte, met tariefaanpassing, </w:t>
      </w: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kan van toepassing blijven)</w:t>
      </w:r>
    </w:p>
    <w:p w14:paraId="15A9F127" w14:textId="3395302C" w:rsidR="001D6D9D" w:rsidRDefault="001D6D9D" w:rsidP="001D6D9D">
      <w:pPr>
        <w:pStyle w:val="xmsonormal"/>
        <w:shd w:val="clear" w:color="auto" w:fill="FFFFFF"/>
        <w:spacing w:before="0" w:beforeAutospacing="0" w:after="0" w:afterAutospacing="0"/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</w:pPr>
    </w:p>
    <w:p w14:paraId="7D65DB00" w14:textId="5A44ACCF" w:rsidR="001D6D9D" w:rsidRDefault="001D6D9D" w:rsidP="001D6D9D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201F1E"/>
          <w:sz w:val="20"/>
          <w:szCs w:val="20"/>
        </w:rPr>
      </w:pPr>
      <w:r>
        <w:rPr>
          <w:rFonts w:ascii="Verdana" w:hAnsi="Verdana" w:cs="Calibri"/>
          <w:color w:val="201F1E"/>
          <w:sz w:val="20"/>
          <w:szCs w:val="20"/>
        </w:rPr>
        <w:t xml:space="preserve">bij ja: </w:t>
      </w:r>
      <w:proofErr w:type="spellStart"/>
      <w:r>
        <w:rPr>
          <w:rFonts w:ascii="Verdana" w:hAnsi="Verdana" w:cs="Calibri"/>
          <w:color w:val="201F1E"/>
          <w:sz w:val="20"/>
          <w:szCs w:val="20"/>
        </w:rPr>
        <w:t>vòòr</w:t>
      </w:r>
      <w:proofErr w:type="spellEnd"/>
      <w:r>
        <w:rPr>
          <w:rFonts w:ascii="Verdana" w:hAnsi="Verdana" w:cs="Calibri"/>
          <w:color w:val="201F1E"/>
          <w:sz w:val="20"/>
          <w:szCs w:val="20"/>
        </w:rPr>
        <w:t xml:space="preserve"> 01-04-2021</w:t>
      </w:r>
    </w:p>
    <w:p w14:paraId="17A669CD" w14:textId="69E89036" w:rsidR="00DD6705" w:rsidRDefault="00DD6705" w:rsidP="00DD6705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201F1E"/>
          <w:sz w:val="20"/>
          <w:szCs w:val="20"/>
        </w:rPr>
      </w:pPr>
      <w:r>
        <w:rPr>
          <w:rFonts w:ascii="Verdana" w:hAnsi="Verdana" w:cs="Calibri"/>
          <w:color w:val="201F1E"/>
          <w:sz w:val="20"/>
          <w:szCs w:val="20"/>
        </w:rPr>
        <w:t>bij 1 koper: startersvrijstelling van toepassing (volgt voorbeeldtekst en aanhechting startersverklaring aan de akte)</w:t>
      </w:r>
    </w:p>
    <w:p w14:paraId="1E5B4F0D" w14:textId="5945C45B" w:rsidR="001D6D9D" w:rsidRPr="002F4C7C" w:rsidRDefault="00D0073A" w:rsidP="00DD6705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201F1E"/>
          <w:sz w:val="20"/>
          <w:szCs w:val="20"/>
        </w:rPr>
      </w:pPr>
      <w:r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bij </w:t>
      </w:r>
      <w:r w:rsidR="001D6D9D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meer dan </w:t>
      </w:r>
      <w:r w:rsidR="001D6D9D"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1 koper: is de vrijstelling op beide/alle kopers van toepassing ja/nee</w:t>
      </w:r>
    </w:p>
    <w:p w14:paraId="2FF4772C" w14:textId="4D23106A" w:rsidR="001D6D9D" w:rsidRPr="002F4C7C" w:rsidRDefault="001D6D9D" w:rsidP="001D6D9D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201F1E"/>
          <w:sz w:val="20"/>
          <w:szCs w:val="20"/>
        </w:rPr>
      </w:pP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bij ja: startersvrijstelling van toepassing (volgt voorbeeldtekst</w:t>
      </w:r>
      <w:r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 en aanhechting startersverklaring</w:t>
      </w:r>
      <w:r w:rsidR="00D0073A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en</w:t>
      </w:r>
      <w:r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 aan </w:t>
      </w:r>
      <w:r w:rsidR="00B97152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de </w:t>
      </w:r>
      <w:r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akte</w:t>
      </w: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)</w:t>
      </w:r>
    </w:p>
    <w:p w14:paraId="508CAE79" w14:textId="4F0F1BEB" w:rsidR="001D6D9D" w:rsidRPr="002F4C7C" w:rsidRDefault="001D6D9D" w:rsidP="001D6D9D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201F1E"/>
          <w:sz w:val="20"/>
          <w:szCs w:val="20"/>
        </w:rPr>
      </w:pP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bij nee: kiezen welke gekoppelde partij wel voldoet (daarbij voorbeeldtekst startersvrijstelling van toepassing</w:t>
      </w:r>
      <w:r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 en aanhechting startersverklaring aan </w:t>
      </w:r>
      <w:r w:rsidR="00B97152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de </w:t>
      </w:r>
      <w:r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akte</w:t>
      </w: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) en welke niet voldoet (daarbij voorbeeldtekst verlaagd tarief van toepassing</w:t>
      </w:r>
      <w:r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 en aanhechting verklaring overdrachtsbelasting laag tarief aan </w:t>
      </w:r>
      <w:r w:rsidR="00B97152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de </w:t>
      </w:r>
      <w:r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akte</w:t>
      </w: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)</w:t>
      </w:r>
    </w:p>
    <w:p w14:paraId="023DF7E2" w14:textId="77777777" w:rsidR="001D6D9D" w:rsidRPr="002F4C7C" w:rsidRDefault="001D6D9D" w:rsidP="001D6D9D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color w:val="201F1E"/>
          <w:sz w:val="20"/>
          <w:szCs w:val="20"/>
        </w:rPr>
      </w:pPr>
    </w:p>
    <w:p w14:paraId="4F2F2783" w14:textId="78CAB8F3" w:rsidR="002F4C7C" w:rsidRPr="00B97152" w:rsidRDefault="002F4C7C" w:rsidP="00B97152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201F1E"/>
          <w:sz w:val="20"/>
          <w:szCs w:val="20"/>
        </w:rPr>
      </w:pP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bij ja: ná 01-04-2021</w:t>
      </w:r>
    </w:p>
    <w:p w14:paraId="14262902" w14:textId="09164F6E" w:rsidR="00B97152" w:rsidRPr="002F4C7C" w:rsidRDefault="00B97152" w:rsidP="00B97152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color w:val="201F1E"/>
          <w:sz w:val="20"/>
          <w:szCs w:val="20"/>
        </w:rPr>
      </w:pP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is de waarde lager dan</w:t>
      </w:r>
      <w:r w:rsidR="00294F06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 of gelijk aan</w:t>
      </w: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 400.000 eur</w:t>
      </w:r>
      <w:r w:rsidR="00DD6705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o</w:t>
      </w:r>
    </w:p>
    <w:p w14:paraId="5F0B9BF0" w14:textId="4FACA0E2" w:rsidR="002F4C7C" w:rsidRPr="002F4C7C" w:rsidRDefault="002F4C7C" w:rsidP="002F4C7C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201F1E"/>
          <w:sz w:val="20"/>
          <w:szCs w:val="20"/>
        </w:rPr>
      </w:pP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bij nee: 2% tarief van toepassing (volgt voorbeeldtekst en aanhechting verklaring</w:t>
      </w:r>
      <w:r w:rsidR="00D0073A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(en)</w:t>
      </w: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 </w:t>
      </w:r>
      <w:r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overdrachtsbelasting verlaagd tarief </w:t>
      </w: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aan </w:t>
      </w:r>
      <w:r w:rsidR="00DD6705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de </w:t>
      </w: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akte)</w:t>
      </w:r>
    </w:p>
    <w:p w14:paraId="70282011" w14:textId="45CA089F" w:rsidR="00DD6705" w:rsidRPr="00DD6705" w:rsidRDefault="002F4C7C" w:rsidP="002F4C7C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201F1E"/>
          <w:sz w:val="20"/>
          <w:szCs w:val="20"/>
        </w:rPr>
      </w:pP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bij ja</w:t>
      </w:r>
      <w:r w:rsidR="00091CA9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 en</w:t>
      </w:r>
      <w:r w:rsidR="00DD6705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:</w:t>
      </w:r>
    </w:p>
    <w:p w14:paraId="1C222AAE" w14:textId="4622AE3B" w:rsidR="00DD6705" w:rsidRDefault="00DD6705" w:rsidP="00DD6705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</w:pPr>
      <w:r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bij 1 koper: startersvrijstelling van toepassing (volgt voorbeeldtekst en aanhechting startersverklaring aan de akte</w:t>
      </w:r>
    </w:p>
    <w:p w14:paraId="5B6A2DBD" w14:textId="1D5D3760" w:rsidR="002F4C7C" w:rsidRPr="002F4C7C" w:rsidRDefault="002F4C7C" w:rsidP="00091CA9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201F1E"/>
          <w:sz w:val="20"/>
          <w:szCs w:val="20"/>
        </w:rPr>
      </w:pP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bij meer dan 1 koper: is de vrijstelling op beide/alle kopers van toepassing ja/nee</w:t>
      </w:r>
    </w:p>
    <w:p w14:paraId="1369868D" w14:textId="55CA4D74" w:rsidR="002F4C7C" w:rsidRPr="002F4C7C" w:rsidRDefault="002F4C7C" w:rsidP="00091CA9">
      <w:pPr>
        <w:pStyle w:val="xmsonormal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201F1E"/>
          <w:sz w:val="20"/>
          <w:szCs w:val="20"/>
        </w:rPr>
      </w:pP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bij ja: startersvrijstelling van toepassing (volgt voorbeeldtekst</w:t>
      </w:r>
      <w:r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 en aanhechting startersverklaring</w:t>
      </w:r>
      <w:r w:rsidR="00D0073A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en</w:t>
      </w:r>
      <w:r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 aan </w:t>
      </w:r>
      <w:r w:rsidR="00D0073A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de </w:t>
      </w:r>
      <w:r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akte</w:t>
      </w: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)</w:t>
      </w:r>
    </w:p>
    <w:p w14:paraId="525B8F5C" w14:textId="0C7CEF89" w:rsidR="002F4C7C" w:rsidRPr="002F4C7C" w:rsidRDefault="002F4C7C" w:rsidP="00091CA9">
      <w:pPr>
        <w:pStyle w:val="xmsonormal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201F1E"/>
          <w:sz w:val="20"/>
          <w:szCs w:val="20"/>
        </w:rPr>
      </w:pP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bij nee: kiezen welke gekoppelde partij wel voldoet (daarbij voorbeeldtekst startersvrijstelling van toepassing</w:t>
      </w:r>
      <w:r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 en aanhechting startersverklaring aan </w:t>
      </w:r>
      <w:r w:rsidR="004220FD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de </w:t>
      </w:r>
      <w:r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akte</w:t>
      </w: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) en welke niet voldoet (daarbij voorbeeldtekst verlaagd tarief van toepassing</w:t>
      </w:r>
      <w:r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 en aanhechting verklaring overdrachtsbelasting laag tarief aan </w:t>
      </w:r>
      <w:r w:rsidR="004220FD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de </w:t>
      </w:r>
      <w:r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akte</w:t>
      </w:r>
      <w:r w:rsidRPr="002F4C7C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)</w:t>
      </w:r>
    </w:p>
    <w:p w14:paraId="3876CFC5" w14:textId="77777777" w:rsidR="002F4C7C" w:rsidRPr="002F4C7C" w:rsidRDefault="002F4C7C" w:rsidP="00FD1238">
      <w:pPr>
        <w:spacing w:after="0"/>
        <w:rPr>
          <w:rFonts w:ascii="Verdana" w:eastAsia="Times New Roman" w:hAnsi="Verdana" w:cs="Arial"/>
          <w:color w:val="201F1E"/>
          <w:sz w:val="20"/>
          <w:szCs w:val="20"/>
          <w:shd w:val="clear" w:color="auto" w:fill="FFFFFF"/>
          <w:lang w:eastAsia="nl-NL"/>
        </w:rPr>
      </w:pPr>
    </w:p>
    <w:sectPr w:rsidR="002F4C7C" w:rsidRPr="002F4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5DCF"/>
    <w:multiLevelType w:val="multilevel"/>
    <w:tmpl w:val="2E52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8600E"/>
    <w:multiLevelType w:val="multilevel"/>
    <w:tmpl w:val="6D9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4216F"/>
    <w:multiLevelType w:val="hybridMultilevel"/>
    <w:tmpl w:val="891C69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0716D"/>
    <w:multiLevelType w:val="hybridMultilevel"/>
    <w:tmpl w:val="AEF09856"/>
    <w:lvl w:ilvl="0" w:tplc="98D24F9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D114FB"/>
    <w:multiLevelType w:val="hybridMultilevel"/>
    <w:tmpl w:val="D6DC542C"/>
    <w:lvl w:ilvl="0" w:tplc="3E6652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B929EE"/>
    <w:multiLevelType w:val="hybridMultilevel"/>
    <w:tmpl w:val="7194DF70"/>
    <w:lvl w:ilvl="0" w:tplc="041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4B4B4829"/>
    <w:multiLevelType w:val="hybridMultilevel"/>
    <w:tmpl w:val="09B00556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7E6FAE"/>
    <w:multiLevelType w:val="hybridMultilevel"/>
    <w:tmpl w:val="D298CDEE"/>
    <w:lvl w:ilvl="0" w:tplc="98D24F9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C7770C"/>
    <w:multiLevelType w:val="hybridMultilevel"/>
    <w:tmpl w:val="CB5ACB0C"/>
    <w:lvl w:ilvl="0" w:tplc="0413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71756833"/>
    <w:multiLevelType w:val="hybridMultilevel"/>
    <w:tmpl w:val="368E4DCC"/>
    <w:lvl w:ilvl="0" w:tplc="0413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0" w15:restartNumberingAfterBreak="0">
    <w:nsid w:val="7B971E80"/>
    <w:multiLevelType w:val="hybridMultilevel"/>
    <w:tmpl w:val="B7D4BCC4"/>
    <w:lvl w:ilvl="0" w:tplc="3E6652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38"/>
    <w:rsid w:val="00070FE9"/>
    <w:rsid w:val="00091CA9"/>
    <w:rsid w:val="000937AE"/>
    <w:rsid w:val="001D6D9D"/>
    <w:rsid w:val="00294F06"/>
    <w:rsid w:val="002F4C7C"/>
    <w:rsid w:val="00395FE9"/>
    <w:rsid w:val="003D2598"/>
    <w:rsid w:val="003F4DD8"/>
    <w:rsid w:val="004220FD"/>
    <w:rsid w:val="0056538B"/>
    <w:rsid w:val="00625CE1"/>
    <w:rsid w:val="00675F5E"/>
    <w:rsid w:val="008A3BCB"/>
    <w:rsid w:val="008C2769"/>
    <w:rsid w:val="009A4843"/>
    <w:rsid w:val="009F2B0F"/>
    <w:rsid w:val="00B97152"/>
    <w:rsid w:val="00C24EBD"/>
    <w:rsid w:val="00CC0906"/>
    <w:rsid w:val="00D0073A"/>
    <w:rsid w:val="00D94892"/>
    <w:rsid w:val="00DD6705"/>
    <w:rsid w:val="00ED6085"/>
    <w:rsid w:val="00FD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6542"/>
  <w15:chartTrackingRefBased/>
  <w15:docId w15:val="{78F193E8-7C31-41CD-B3DE-63EDFD7F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D1238"/>
    <w:pPr>
      <w:ind w:left="720"/>
      <w:contextualSpacing/>
    </w:pPr>
  </w:style>
  <w:style w:type="paragraph" w:customStyle="1" w:styleId="xmsonormal">
    <w:name w:val="x_msonormal"/>
    <w:basedOn w:val="Standaard"/>
    <w:rsid w:val="002F4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A782B9732A442AE793BCDB19672DA" ma:contentTypeVersion="13" ma:contentTypeDescription="Create a new document." ma:contentTypeScope="" ma:versionID="42bf89468a914c3f6364df48b7f55b73">
  <xsd:schema xmlns:xsd="http://www.w3.org/2001/XMLSchema" xmlns:xs="http://www.w3.org/2001/XMLSchema" xmlns:p="http://schemas.microsoft.com/office/2006/metadata/properties" xmlns:ns2="5cbda34e-82a8-44b3-8d01-e3ba988f2d71" xmlns:ns3="2129db30-b86e-4392-9448-c257d255cd7d" targetNamespace="http://schemas.microsoft.com/office/2006/metadata/properties" ma:root="true" ma:fieldsID="c8cf60c3aed291b9e9a5bbda17b41e10" ns2:_="" ns3:_="">
    <xsd:import namespace="5cbda34e-82a8-44b3-8d01-e3ba988f2d71"/>
    <xsd:import namespace="2129db30-b86e-4392-9448-c257d255cd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da34e-82a8-44b3-8d01-e3ba988f2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63459dd-d3ef-4eb0-8e39-d659150886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9db30-b86e-4392-9448-c257d255cd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5f49f9-f53e-4f90-b9ff-e70d7caeda8e}" ma:internalName="TaxCatchAll" ma:showField="CatchAllData" ma:web="2129db30-b86e-4392-9448-c257d255c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bda34e-82a8-44b3-8d01-e3ba988f2d71">
      <Terms xmlns="http://schemas.microsoft.com/office/infopath/2007/PartnerControls"/>
    </lcf76f155ced4ddcb4097134ff3c332f>
    <TaxCatchAll xmlns="2129db30-b86e-4392-9448-c257d255cd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115FBB-A657-4FBF-870B-1E35259D66E5}"/>
</file>

<file path=customXml/itemProps2.xml><?xml version="1.0" encoding="utf-8"?>
<ds:datastoreItem xmlns:ds="http://schemas.openxmlformats.org/officeDocument/2006/customXml" ds:itemID="{E9F8A742-0019-4B37-A305-83FCBD7A3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FF8D7A-DB4E-41B2-82C3-0372EB59F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de Jong</dc:creator>
  <cp:keywords/>
  <dc:description/>
  <cp:lastModifiedBy>Tanja Wit</cp:lastModifiedBy>
  <cp:revision>2</cp:revision>
  <dcterms:created xsi:type="dcterms:W3CDTF">2020-12-14T10:22:00Z</dcterms:created>
  <dcterms:modified xsi:type="dcterms:W3CDTF">2020-12-14T10:22:00Z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0x010100266A782B9732A442AE793BCDB19672DA</vt:lpwstr>
  </property>
</Properties>
</file>